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3D878" w14:textId="08F7281F" w:rsidR="00B77394" w:rsidRDefault="00B77394" w:rsidP="00B77394">
      <w:pPr>
        <w:widowControl/>
        <w:jc w:val="left"/>
        <w:rPr>
          <w:rFonts w:ascii="Times New Roman" w:eastAsia="sans-serif" w:hAnsi="Times New Roman" w:cs="Times New Roman"/>
          <w:b/>
          <w:bCs/>
          <w:color w:val="000000"/>
        </w:rPr>
      </w:pPr>
      <w:r>
        <w:rPr>
          <w:rFonts w:ascii="Times New Roman" w:eastAsia="sans-serif" w:hAnsi="Times New Roman" w:cs="Times New Roman"/>
          <w:b/>
          <w:bCs/>
          <w:color w:val="000000"/>
          <w:kern w:val="0"/>
          <w:sz w:val="24"/>
          <w:lang w:bidi="ar"/>
        </w:rPr>
        <w:t xml:space="preserve">Supplementary Table </w:t>
      </w:r>
      <w:r w:rsidR="00D20F99">
        <w:rPr>
          <w:rFonts w:ascii="Times New Roman" w:eastAsia="sans-serif" w:hAnsi="Times New Roman" w:cs="Times New Roman"/>
          <w:b/>
          <w:bCs/>
          <w:color w:val="000000"/>
          <w:kern w:val="0"/>
          <w:sz w:val="24"/>
          <w:lang w:bidi="ar"/>
        </w:rPr>
        <w:t>1</w:t>
      </w:r>
      <w:r>
        <w:rPr>
          <w:rFonts w:ascii="Times New Roman" w:eastAsia="sans-serif" w:hAnsi="Times New Roman" w:cs="Times New Roman"/>
          <w:b/>
          <w:bCs/>
          <w:color w:val="000000"/>
          <w:kern w:val="0"/>
          <w:sz w:val="24"/>
          <w:lang w:bidi="ar"/>
        </w:rPr>
        <w:t>: Hazard Ratios from IPTW-Adjusted Cox Models (In-Hospital Ticagrelor vs. Clopidogrel, 1-Year Outcomes)</w:t>
      </w:r>
    </w:p>
    <w:tbl>
      <w:tblPr>
        <w:tblW w:w="8333" w:type="dxa"/>
        <w:jc w:val="center"/>
        <w:tblBorders>
          <w:top w:val="single" w:sz="2" w:space="0" w:color="CFD9DE"/>
          <w:left w:val="single" w:sz="2" w:space="0" w:color="CFD9DE"/>
          <w:bottom w:val="single" w:sz="4" w:space="0" w:color="CFD9DE"/>
          <w:right w:val="single" w:sz="2" w:space="0" w:color="CFD9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1439"/>
        <w:gridCol w:w="2297"/>
        <w:gridCol w:w="1383"/>
      </w:tblGrid>
      <w:tr w:rsidR="00B77394" w14:paraId="47071D63" w14:textId="77777777" w:rsidTr="00AC5047">
        <w:trPr>
          <w:tblHeader/>
          <w:jc w:val="center"/>
        </w:trPr>
        <w:tc>
          <w:tcPr>
            <w:tcW w:w="32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942D5D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Nonfatal Endpoint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D245A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Sub-HR</w:t>
            </w:r>
          </w:p>
        </w:tc>
        <w:tc>
          <w:tcPr>
            <w:tcW w:w="22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8842D2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95% CI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85FFD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 Value</w:t>
            </w:r>
          </w:p>
        </w:tc>
      </w:tr>
      <w:tr w:rsidR="00B77394" w14:paraId="1F539A4B" w14:textId="77777777" w:rsidTr="00AC5047">
        <w:trPr>
          <w:jc w:val="center"/>
        </w:trPr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F4CCF" w14:textId="77777777" w:rsidR="00B77394" w:rsidRDefault="00B77394" w:rsidP="00AC5047">
            <w:pPr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Ischemic Stroke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85FA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0.231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AD80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(0.110–0.486)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ECDA1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:rsidR="00B77394" w14:paraId="73C0287C" w14:textId="77777777" w:rsidTr="00AC5047"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2EC03" w14:textId="77777777" w:rsidR="00B77394" w:rsidRDefault="00B77394" w:rsidP="00AC5047">
            <w:pPr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Acute MI (AMI)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514D8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0.664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D6F92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(0.396–1.110)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E0A5C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0.12</w:t>
            </w:r>
          </w:p>
        </w:tc>
      </w:tr>
      <w:tr w:rsidR="00B77394" w14:paraId="3CF78C5D" w14:textId="77777777" w:rsidTr="00AC5047"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E1EAD" w14:textId="77777777" w:rsidR="00B77394" w:rsidRDefault="00B77394" w:rsidP="00AC5047">
            <w:pPr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Revascularization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B8F9D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0.712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15FCA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(0.462–1.110)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4957B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0.12</w:t>
            </w:r>
          </w:p>
        </w:tc>
      </w:tr>
      <w:tr w:rsidR="00B77394" w14:paraId="1D476957" w14:textId="77777777" w:rsidTr="00AC5047">
        <w:tblPrEx>
          <w:tblBorders>
            <w:bottom w:val="single" w:sz="2" w:space="0" w:color="CFD9DE"/>
          </w:tblBorders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D0AF36" w14:textId="77777777" w:rsidR="00B77394" w:rsidRDefault="00B77394" w:rsidP="00AC5047">
            <w:pPr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 xml:space="preserve">BARC </w:t>
            </w:r>
            <w:r>
              <w:rPr>
                <w:rFonts w:ascii="Times New Roman" w:eastAsia="sans-serif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type 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sans-serif" w:hAnsi="Times New Roman" w:cs="Times New Roman" w:hint="eastAsia"/>
                <w:color w:val="000000"/>
                <w:kern w:val="0"/>
                <w:sz w:val="24"/>
                <w:lang w:bidi="ar"/>
              </w:rPr>
              <w:t>-5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DEAC3F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0.752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082A9A8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(0.242–2.330)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B3516B" w14:textId="77777777" w:rsidR="00B77394" w:rsidRDefault="00B77394" w:rsidP="00AC5047">
            <w:pPr>
              <w:widowControl/>
              <w:snapToGrid w:val="0"/>
              <w:jc w:val="center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0.62</w:t>
            </w:r>
          </w:p>
        </w:tc>
      </w:tr>
    </w:tbl>
    <w:p w14:paraId="57A0DEA2" w14:textId="77777777" w:rsidR="00B77394" w:rsidRDefault="00B77394" w:rsidP="00B77394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eastAsia="sans-serif" w:hAnsi="Times New Roman" w:cs="Times New Roman"/>
          <w:color w:val="000000"/>
          <w:kern w:val="0"/>
          <w:sz w:val="24"/>
          <w:lang w:bidi="ar"/>
        </w:rPr>
        <w:t>These analyses reinforce the robustness of our conclusions regarding ticagrelor's safety and efficacy profile.</w:t>
      </w:r>
    </w:p>
    <w:p w14:paraId="76EAD096" w14:textId="77777777" w:rsidR="00B77394" w:rsidRDefault="00B77394">
      <w:pPr>
        <w:widowControl/>
        <w:jc w:val="left"/>
        <w:rPr>
          <w:rFonts w:ascii="Times New Roman" w:eastAsia="sans-serif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2370734B" w14:textId="77777777" w:rsidR="00B77394" w:rsidRDefault="00B77394">
      <w:pPr>
        <w:widowControl/>
        <w:jc w:val="left"/>
        <w:rPr>
          <w:rFonts w:ascii="Times New Roman" w:eastAsia="sans-serif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3D101C1A" w14:textId="5E75B751" w:rsidR="002D0A62" w:rsidRDefault="00FE20A2">
      <w:pPr>
        <w:widowControl/>
        <w:jc w:val="left"/>
        <w:rPr>
          <w:rFonts w:ascii="Times New Roman" w:eastAsia="sans-serif" w:hAnsi="Times New Roman" w:cs="Times New Roman"/>
          <w:b/>
          <w:bCs/>
          <w:color w:val="000000"/>
        </w:rPr>
      </w:pPr>
      <w:r>
        <w:rPr>
          <w:rFonts w:ascii="Times New Roman" w:eastAsia="sans-serif" w:hAnsi="Times New Roman" w:cs="Times New Roman"/>
          <w:b/>
          <w:bCs/>
          <w:color w:val="000000"/>
          <w:kern w:val="0"/>
          <w:sz w:val="24"/>
          <w:lang w:bidi="ar"/>
        </w:rPr>
        <w:t xml:space="preserve">Supplementary Table </w:t>
      </w:r>
      <w:r w:rsidR="00D20F99">
        <w:rPr>
          <w:rFonts w:ascii="Times New Roman" w:eastAsia="sans-serif" w:hAnsi="Times New Roman" w:cs="Times New Roman"/>
          <w:b/>
          <w:bCs/>
          <w:color w:val="000000"/>
          <w:kern w:val="0"/>
          <w:sz w:val="24"/>
          <w:lang w:bidi="ar"/>
        </w:rPr>
        <w:t>2</w:t>
      </w:r>
      <w:bookmarkStart w:id="0" w:name="_GoBack"/>
      <w:bookmarkEnd w:id="0"/>
      <w:r>
        <w:rPr>
          <w:rFonts w:ascii="Times New Roman" w:eastAsia="sans-serif" w:hAnsi="Times New Roman" w:cs="Times New Roman"/>
          <w:b/>
          <w:bCs/>
          <w:color w:val="000000"/>
          <w:kern w:val="0"/>
          <w:sz w:val="24"/>
          <w:lang w:bidi="ar"/>
        </w:rPr>
        <w:t xml:space="preserve">: Subgroup Analyses by Key Covariates: Hazard Ratios (HRs) for Ticagrelor vs. Clopidogrel (1-Year Outcomes) </w:t>
      </w:r>
    </w:p>
    <w:tbl>
      <w:tblPr>
        <w:tblW w:w="8974" w:type="dxa"/>
        <w:jc w:val="center"/>
        <w:tblBorders>
          <w:top w:val="single" w:sz="2" w:space="0" w:color="CFD9DE"/>
          <w:left w:val="single" w:sz="2" w:space="0" w:color="CFD9DE"/>
          <w:bottom w:val="single" w:sz="4" w:space="0" w:color="CFD9DE"/>
          <w:right w:val="single" w:sz="2" w:space="0" w:color="CFD9DE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2068"/>
        <w:gridCol w:w="1727"/>
        <w:gridCol w:w="1669"/>
        <w:gridCol w:w="1977"/>
      </w:tblGrid>
      <w:tr w:rsidR="002D0A62" w14:paraId="5932B103" w14:textId="77777777">
        <w:trPr>
          <w:jc w:val="center"/>
        </w:trPr>
        <w:tc>
          <w:tcPr>
            <w:tcW w:w="153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D1CB8" w14:textId="77777777" w:rsidR="002D0A62" w:rsidRDefault="00FE20A2">
            <w:pPr>
              <w:keepNext/>
              <w:widowControl/>
              <w:snapToGrid w:val="0"/>
              <w:jc w:val="center"/>
              <w:rPr>
                <w:rFonts w:ascii="Times New Roman" w:eastAsia="sans-serif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ans-serif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S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ubgroup</w:t>
            </w:r>
          </w:p>
        </w:tc>
        <w:tc>
          <w:tcPr>
            <w:tcW w:w="20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331F2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All-Cause Death (HR [95% CI];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P_int</w:t>
            </w:r>
            <w:proofErr w:type="spellEnd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7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2AB23C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CV Death (HR [95% CI];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P_int</w:t>
            </w:r>
            <w:proofErr w:type="spellEnd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6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3DD4E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MACCE (HR [95% CI];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P_int</w:t>
            </w:r>
            <w:proofErr w:type="spellEnd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429BD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NACE (HR [95% CI];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P_int</w:t>
            </w:r>
            <w:proofErr w:type="spellEnd"/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2D0A62" w14:paraId="3D613738" w14:textId="77777777">
        <w:trPr>
          <w:jc w:val="center"/>
        </w:trPr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8167F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Age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06DA7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E369A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5CBC3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08514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</w:tr>
      <w:tr w:rsidR="002D0A62" w14:paraId="7C08AB1A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9C161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&lt;75 years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D7E28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0.40 [0.14–1.13]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026D7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0.52 [0.16–1.73]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A49E0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0.77 [0.41–1.44]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4DF92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0.85 [0.49–1.50]</w:t>
            </w:r>
          </w:p>
        </w:tc>
      </w:tr>
      <w:tr w:rsidR="002D0A62" w14:paraId="0266425F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4BC5B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≥75 years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CDA9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0.56 [0.28–1.13]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23C5D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0.69 [0.32–1.45]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0D9C4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0.56 [0.29–1.07]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89585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0.60 [0.32–1.13]</w:t>
            </w:r>
          </w:p>
        </w:tc>
      </w:tr>
      <w:tr w:rsidR="002D0A62" w14:paraId="36A250B0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B962B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P_interaction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98D0F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0.594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85B91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0.704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7479D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0.473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C56D0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0.403</w:t>
            </w:r>
          </w:p>
        </w:tc>
      </w:tr>
      <w:tr w:rsidR="002D0A62" w14:paraId="5607FFEB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52203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Sex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0DD4F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73EE4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EEC47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566E5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</w:tr>
      <w:tr w:rsidR="002D0A62" w14:paraId="2A9B62F9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1913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4B7B8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0.76 [0.38–1.53]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BE405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0.91 [0.41–1.99]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31F53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0.93 [0.49–1.78]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7FD9E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0.89 [0.48–1.65]</w:t>
            </w:r>
          </w:p>
        </w:tc>
      </w:tr>
      <w:tr w:rsidR="002D0A62" w14:paraId="22DBD506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EE7EA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C7643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0.25 [0.08–0.76]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6F086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0.37 [0.12–1.16]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4F878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0.50 [0.27–0.96]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ABA9A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0.64 [0.36–1.14]</w:t>
            </w:r>
          </w:p>
        </w:tc>
      </w:tr>
      <w:tr w:rsidR="002D0A62" w14:paraId="576F8C40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61C8E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P_interaction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3D807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0.097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70DE1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0.203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C19D5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0.187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0DE39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0.460</w:t>
            </w:r>
          </w:p>
        </w:tc>
      </w:tr>
      <w:tr w:rsidR="002D0A62" w14:paraId="123FBEB4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259BD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PPCI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4675F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20EE0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10F72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D7DC7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</w:tr>
      <w:tr w:rsidR="002D0A62" w14:paraId="73D695C8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F5318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No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BCE7F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0.30 [0.11–0.82]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DF2C3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0.36 [0.12–1.10]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9A1FD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0.36 [0.16–0.80]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74BE0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0.41 [0.19–0.88]</w:t>
            </w:r>
          </w:p>
        </w:tc>
      </w:tr>
      <w:tr w:rsidR="002D0A62" w14:paraId="1D483C4E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573A7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Yes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D382C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0.81 [0.39–1.71]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11A4D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1.02 [0.45–2.31]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AD00A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1.02 [0.57–1.83]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D82D0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1.05 [0.62–1.78]</w:t>
            </w:r>
          </w:p>
        </w:tc>
      </w:tr>
      <w:tr w:rsidR="002D0A62" w14:paraId="3CC12457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EC87D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P_interaction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B7162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0.121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3E6CF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0.139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F9A5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0.039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2D0BE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0.047</w:t>
            </w:r>
          </w:p>
        </w:tc>
      </w:tr>
      <w:tr w:rsidR="002D0A62" w14:paraId="14D755D5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29B21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GPI Use (Tirofiban)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D3F81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2D673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9A3D4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FB7C9" w14:textId="77777777" w:rsidR="002D0A62" w:rsidRDefault="002D0A62">
            <w:pPr>
              <w:keepNext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</w:p>
        </w:tc>
      </w:tr>
      <w:tr w:rsidR="002D0A62" w14:paraId="66854F53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94C8C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No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96C62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0.24 [0.10–0.59]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6ED0F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0.26 [0.09–0.76]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5996D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0.41 [0.21–0.81]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AA046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0.44 [0.23–0.82]</w:t>
            </w:r>
          </w:p>
        </w:tc>
      </w:tr>
      <w:tr w:rsidR="002D0A62" w14:paraId="286FED65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CC146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Yes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01381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1.31 [0.55–3.11]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C1007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1.47 [0.60–3.60]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6FB09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1.10 [0.58–2.08]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3E469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1.26 [0.69–2.29]</w:t>
            </w:r>
          </w:p>
        </w:tc>
      </w:tr>
      <w:tr w:rsidR="002D0A62" w14:paraId="11CB9722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B91B9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P_interaction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28E21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0.008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A63F0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0.015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4791D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0.039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3D6AD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0.017</w:t>
            </w:r>
          </w:p>
        </w:tc>
      </w:tr>
      <w:tr w:rsidR="002D0A62" w14:paraId="429DAC7E" w14:textId="77777777">
        <w:trPr>
          <w:jc w:val="center"/>
        </w:trPr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D888F2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b/>
                <w:color w:val="000000"/>
              </w:rPr>
            </w:pPr>
            <w:r>
              <w:rPr>
                <w:rFonts w:ascii="Times New Roman" w:eastAsia="sans-serif" w:hAnsi="Times New Roman" w:cs="Times New Roman"/>
                <w:b/>
                <w:color w:val="000000"/>
                <w:kern w:val="0"/>
                <w:sz w:val="24"/>
                <w:lang w:bidi="ar"/>
              </w:rPr>
              <w:t>Overall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CB5D19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0.53 [0.30–0.94]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7030F5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0.67 [0.36–1.26]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83B49A0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0.68 [0.43–1.07]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A64483" w14:textId="77777777" w:rsidR="002D0A62" w:rsidRDefault="00FE20A2">
            <w:pPr>
              <w:keepNext/>
              <w:widowControl/>
              <w:snapToGrid w:val="0"/>
              <w:jc w:val="left"/>
              <w:rPr>
                <w:rFonts w:ascii="Times New Roman" w:eastAsia="sans-serif" w:hAnsi="Times New Roman" w:cs="Times New Roman"/>
                <w:color w:val="000000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lang w:bidi="ar"/>
              </w:rPr>
              <w:t>0.75 [0.49–1.14]</w:t>
            </w:r>
          </w:p>
        </w:tc>
      </w:tr>
    </w:tbl>
    <w:p w14:paraId="41EE2CF2" w14:textId="77777777" w:rsidR="002D0A62" w:rsidRDefault="002D0A62">
      <w:pPr>
        <w:widowControl/>
        <w:jc w:val="left"/>
        <w:rPr>
          <w:rFonts w:ascii="Times New Roman" w:eastAsia="sans-serif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38CA76FE" w14:textId="77777777" w:rsidR="002D0A62" w:rsidRDefault="00FE20A2">
      <w:pPr>
        <w:widowControl/>
        <w:jc w:val="left"/>
        <w:rPr>
          <w:rFonts w:ascii="Times New Roman" w:eastAsia="sans-serif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sans-serif" w:hAnsi="Times New Roman" w:cs="Times New Roman"/>
          <w:color w:val="000000"/>
          <w:kern w:val="0"/>
          <w:sz w:val="24"/>
          <w:lang w:bidi="ar"/>
        </w:rPr>
        <w:t xml:space="preserve">Footnote: IPTW-adjusted Cox proportional hazards models for 1-year outcomes in STEMI patients with elevated platelets (&gt;350×10⁹/L). HRs compare ticagrelor vs. clopidogrel. </w:t>
      </w:r>
      <w:proofErr w:type="spellStart"/>
      <w:r>
        <w:rPr>
          <w:rFonts w:ascii="Times New Roman" w:eastAsia="sans-serif" w:hAnsi="Times New Roman" w:cs="Times New Roman"/>
          <w:color w:val="000000"/>
          <w:kern w:val="0"/>
          <w:sz w:val="24"/>
          <w:lang w:bidi="ar"/>
        </w:rPr>
        <w:t>P_interaction</w:t>
      </w:r>
      <w:proofErr w:type="spellEnd"/>
      <w:r>
        <w:rPr>
          <w:rFonts w:ascii="Times New Roman" w:eastAsia="sans-serif" w:hAnsi="Times New Roman" w:cs="Times New Roman"/>
          <w:color w:val="000000"/>
          <w:kern w:val="0"/>
          <w:sz w:val="24"/>
          <w:lang w:bidi="ar"/>
        </w:rPr>
        <w:t xml:space="preserve"> tests heterogeneity between PPCI strata. No significant interactions (all </w:t>
      </w:r>
      <w:proofErr w:type="spellStart"/>
      <w:r>
        <w:rPr>
          <w:rFonts w:ascii="Times New Roman" w:eastAsia="sans-serif" w:hAnsi="Times New Roman" w:cs="Times New Roman"/>
          <w:color w:val="000000"/>
          <w:kern w:val="0"/>
          <w:sz w:val="24"/>
          <w:lang w:bidi="ar"/>
        </w:rPr>
        <w:t>P_int</w:t>
      </w:r>
      <w:proofErr w:type="spellEnd"/>
      <w:r>
        <w:rPr>
          <w:rFonts w:ascii="Times New Roman" w:eastAsia="sans-serif" w:hAnsi="Times New Roman" w:cs="Times New Roman"/>
          <w:color w:val="000000"/>
          <w:kern w:val="0"/>
          <w:sz w:val="24"/>
          <w:lang w:bidi="ar"/>
        </w:rPr>
        <w:t xml:space="preserve"> &gt;0.05). </w:t>
      </w:r>
    </w:p>
    <w:p w14:paraId="03DFB502" w14:textId="77777777" w:rsidR="002D0A62" w:rsidRDefault="002D0A62">
      <w:pPr>
        <w:widowControl/>
        <w:jc w:val="left"/>
        <w:rPr>
          <w:rFonts w:ascii="Times New Roman" w:eastAsia="sans-serif" w:hAnsi="Times New Roman" w:cs="Times New Roman"/>
          <w:color w:val="000000"/>
          <w:kern w:val="0"/>
          <w:sz w:val="24"/>
          <w:lang w:bidi="ar"/>
        </w:rPr>
      </w:pPr>
    </w:p>
    <w:p w14:paraId="4617E33F" w14:textId="77777777" w:rsidR="002D0A62" w:rsidRDefault="002D0A62">
      <w:pPr>
        <w:widowControl/>
        <w:jc w:val="left"/>
        <w:rPr>
          <w:rFonts w:ascii="Times New Roman" w:eastAsia="sans-serif" w:hAnsi="Times New Roman" w:cs="Times New Roman"/>
          <w:color w:val="000000"/>
          <w:kern w:val="0"/>
          <w:sz w:val="24"/>
          <w:lang w:bidi="ar"/>
        </w:rPr>
      </w:pPr>
    </w:p>
    <w:sectPr w:rsidR="002D0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E3FFE" w14:textId="77777777" w:rsidR="00EF67A8" w:rsidRDefault="00EF67A8" w:rsidP="00985D34">
      <w:r>
        <w:separator/>
      </w:r>
    </w:p>
  </w:endnote>
  <w:endnote w:type="continuationSeparator" w:id="0">
    <w:p w14:paraId="597D95A5" w14:textId="77777777" w:rsidR="00EF67A8" w:rsidRDefault="00EF67A8" w:rsidP="0098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D992A" w14:textId="77777777" w:rsidR="00EF67A8" w:rsidRDefault="00EF67A8" w:rsidP="00985D34">
      <w:r>
        <w:separator/>
      </w:r>
    </w:p>
  </w:footnote>
  <w:footnote w:type="continuationSeparator" w:id="0">
    <w:p w14:paraId="028BD0DB" w14:textId="77777777" w:rsidR="00EF67A8" w:rsidRDefault="00EF67A8" w:rsidP="0098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A62"/>
    <w:rsid w:val="002D0A62"/>
    <w:rsid w:val="003453FC"/>
    <w:rsid w:val="00985D34"/>
    <w:rsid w:val="00B77394"/>
    <w:rsid w:val="00D20F99"/>
    <w:rsid w:val="00EF67A8"/>
    <w:rsid w:val="00FE20A2"/>
    <w:rsid w:val="18F3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3BA708"/>
  <w15:docId w15:val="{6D6A0AB3-091A-4EFE-8CF9-F8C5645E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85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85D34"/>
    <w:rPr>
      <w:kern w:val="2"/>
      <w:sz w:val="18"/>
      <w:szCs w:val="18"/>
    </w:rPr>
  </w:style>
  <w:style w:type="paragraph" w:styleId="a6">
    <w:name w:val="footer"/>
    <w:basedOn w:val="a"/>
    <w:link w:val="a7"/>
    <w:rsid w:val="00985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85D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jifangjie</dc:creator>
  <cp:lastModifiedBy>Alan Su</cp:lastModifiedBy>
  <cp:revision>5</cp:revision>
  <dcterms:created xsi:type="dcterms:W3CDTF">2025-11-20T21:54:00Z</dcterms:created>
  <dcterms:modified xsi:type="dcterms:W3CDTF">2026-04-28T02:03:00Z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eyJoZGlkIjoiZjNmNzNiMzk1ZDYzYzdkYjYxOGFjYjliODJjNDNmZWQiLCJ1c2VySWQiOiI1MTI3NzYzODQifQ==</vt:lpwstr>
  </property>
  <property fmtid="{D5CDD505-2E9C-101B-9397-08002B2CF9AE}" pid="4" name="ICV">
    <vt:lpwstr>66450AB0B3C34D7DA396223F3286BD43_12</vt:lpwstr>
  </property>
</Properties>
</file>